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 xml:space="preserve">ENRTY </w:t>
      </w:r>
      <w:r>
        <w:rPr>
          <w:rFonts w:ascii="Arial Black" w:cs="Arial Black" w:eastAsia="Arial Black" w:hAnsi="Arial Black"/>
          <w:b/>
        </w:rPr>
        <w:t>EXAMS</w:t>
      </w:r>
    </w:p>
    <w:bookmarkStart w:id="0" w:name="_GoBack"/>
    <w:bookmarkEnd w:id="0"/>
    <w:p>
      <w:pPr>
        <w:pStyle w:val="style0"/>
        <w:spacing w:after="0"/>
        <w:rPr>
          <w:b/>
        </w:rPr>
      </w:pPr>
      <w:r>
        <w:rPr>
          <w:b/>
        </w:rPr>
        <w:t>CHEMISTRY PP. 3 (MARKING SCHEME)</w:t>
      </w:r>
    </w:p>
    <w:p>
      <w:pPr>
        <w:pStyle w:val="style0"/>
        <w:spacing w:after="0"/>
        <w:rPr/>
      </w:pPr>
    </w:p>
    <w:tbl>
      <w:tblPr>
        <w:tblStyle w:val="style4097"/>
        <w:tblW w:w="9085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990"/>
        <w:gridCol w:w="1620"/>
        <w:gridCol w:w="1615"/>
      </w:tblGrid>
      <w:tr>
        <w:trPr/>
        <w:tc>
          <w:tcPr>
            <w:tcW w:w="4860" w:type="dxa"/>
            <w:tcBorders/>
          </w:tcPr>
          <w:p>
            <w:pPr>
              <w:pStyle w:val="style0"/>
              <w:rPr/>
            </w:pPr>
          </w:p>
        </w:tc>
        <w:tc>
          <w:tcPr>
            <w:tcW w:w="990" w:type="dxa"/>
            <w:tcBorders/>
          </w:tcPr>
          <w:p>
            <w:pPr>
              <w:pStyle w:val="style0"/>
              <w:rPr/>
            </w:pPr>
            <w:r>
              <w:t>I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/>
            </w:pPr>
            <w:r>
              <w:t>II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/>
            </w:pPr>
            <w:r>
              <w:t>III</w:t>
            </w:r>
          </w:p>
        </w:tc>
      </w:tr>
      <w:tr>
        <w:tblPrEx/>
        <w:trPr/>
        <w:tc>
          <w:tcPr>
            <w:tcW w:w="4860" w:type="dxa"/>
            <w:tcBorders/>
          </w:tcPr>
          <w:p>
            <w:pPr>
              <w:pStyle w:val="style0"/>
              <w:rPr/>
            </w:pPr>
            <w:r>
              <w:t>Final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/>
            </w:pPr>
            <w:r>
              <w:t>20.5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/>
            </w:pPr>
            <w:r>
              <w:t>20.5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/>
            </w:pPr>
            <w:r>
              <w:t>20.5</w:t>
            </w:r>
          </w:p>
        </w:tc>
      </w:tr>
      <w:tr>
        <w:tblPrEx/>
        <w:trPr/>
        <w:tc>
          <w:tcPr>
            <w:tcW w:w="4860" w:type="dxa"/>
            <w:tcBorders/>
          </w:tcPr>
          <w:p>
            <w:pPr>
              <w:pStyle w:val="style0"/>
              <w:rPr/>
            </w:pPr>
            <w:r>
              <w:t>Initial burette reading(cm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/>
            </w:pPr>
            <w:r>
              <w:t>0.0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/>
            </w:pPr>
            <w:r>
              <w:t>0.0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/>
            </w:pPr>
            <w:r>
              <w:t>0.0</w:t>
            </w:r>
          </w:p>
        </w:tc>
      </w:tr>
      <w:tr>
        <w:tblPrEx/>
        <w:trPr/>
        <w:tc>
          <w:tcPr>
            <w:tcW w:w="4860" w:type="dxa"/>
            <w:tcBorders/>
          </w:tcPr>
          <w:p>
            <w:pPr>
              <w:pStyle w:val="style0"/>
              <w:rPr/>
            </w:pPr>
            <w:r>
              <w:t>Volume of solution W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990" w:type="dxa"/>
            <w:tcBorders/>
          </w:tcPr>
          <w:p>
            <w:pPr>
              <w:pStyle w:val="style0"/>
              <w:rPr/>
            </w:pPr>
            <w:r>
              <w:t>20.5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/>
            </w:pPr>
            <w:r>
              <w:t>20.5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/>
            </w:pPr>
            <w:r>
              <w:t>20.5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</w:rPr>
        <w:t xml:space="preserve">i)   Average volume = </w:t>
      </w:r>
      <w:r>
        <w:rPr>
          <w:color w:val="000000"/>
          <w:u w:val="single"/>
        </w:rPr>
        <w:t>20.5 + 20.5 + 20.5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                                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                     = 20.5cm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ii)    0.1 moles in 1000cm</w:t>
      </w:r>
      <w:r>
        <w:rPr>
          <w:color w:val="000000"/>
          <w:vertAlign w:val="superscript"/>
        </w:rPr>
        <w:t>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?                 20.5cm</w:t>
      </w:r>
      <w:r>
        <w:rPr>
          <w:color w:val="000000"/>
          <w:vertAlign w:val="superscript"/>
        </w:rPr>
        <w:t>3</w:t>
      </w:r>
    </w:p>
    <w:p>
      <w:pPr>
        <w:pStyle w:val="style0"/>
        <w:numPr>
          <w:ilvl w:val="1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  <w:u w:val="single"/>
        </w:rPr>
        <w:t>x 20.5</w:t>
      </w:r>
      <w:r>
        <w:rPr>
          <w:color w:val="000000"/>
        </w:rPr>
        <w:t xml:space="preserve">   (1mk)</w:t>
      </w:r>
    </w:p>
    <w:p>
      <w:pPr>
        <w:pStyle w:val="style0"/>
        <w:spacing w:after="0"/>
        <w:ind w:left="1365"/>
        <w:rPr/>
      </w:pPr>
      <w:r>
        <w:t xml:space="preserve">   1000   </w:t>
      </w:r>
    </w:p>
    <w:p>
      <w:pPr>
        <w:pStyle w:val="style0"/>
        <w:spacing w:after="0"/>
        <w:ind w:left="1365"/>
        <w:rPr/>
      </w:pPr>
      <w:r>
        <w:t>= 0.00205 moles           (1mk)</w:t>
      </w:r>
    </w:p>
    <w:p>
      <w:pPr>
        <w:pStyle w:val="style0"/>
        <w:spacing w:after="0"/>
        <w:ind w:left="1365"/>
        <w:rPr/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i)    Mole ratio HCl :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. XH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     2         :           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Moles of D = </w:t>
      </w:r>
      <w:r>
        <w:rPr>
          <w:color w:val="000000"/>
          <w:u w:val="single"/>
        </w:rPr>
        <w:t>0.00205</w:t>
      </w:r>
      <w:r>
        <w:rPr>
          <w:color w:val="000000"/>
        </w:rPr>
        <w:t xml:space="preserve">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               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        = 0.00103 moles     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ii)    0.00103 moles in 25cm</w:t>
      </w:r>
      <w:r>
        <w:rPr>
          <w:color w:val="000000"/>
          <w:vertAlign w:val="superscript"/>
        </w:rPr>
        <w:t>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?                     250cm</w:t>
      </w:r>
      <w:r>
        <w:rPr>
          <w:color w:val="000000"/>
          <w:vertAlign w:val="superscript"/>
        </w:rPr>
        <w:t>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  <w:u w:val="single"/>
        </w:rPr>
        <w:t>0.00103 x 250</w:t>
      </w:r>
      <w:r>
        <w:rPr>
          <w:color w:val="000000"/>
        </w:rPr>
        <w:t xml:space="preserve">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25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= 0.0103 moles                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iii)   0.0103 moles in 250cm</w:t>
      </w:r>
      <w:r>
        <w:rPr>
          <w:color w:val="000000"/>
          <w:vertAlign w:val="superscript"/>
        </w:rPr>
        <w:t>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?                     1000cm</w:t>
      </w:r>
      <w:r>
        <w:rPr>
          <w:color w:val="000000"/>
          <w:vertAlign w:val="superscript"/>
        </w:rPr>
        <w:t>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= </w:t>
      </w:r>
      <w:r>
        <w:rPr>
          <w:color w:val="000000"/>
          <w:u w:val="single"/>
        </w:rPr>
        <w:t>0.0103 x 1000</w:t>
      </w:r>
      <w:r>
        <w:rPr>
          <w:color w:val="000000"/>
        </w:rPr>
        <w:t xml:space="preserve">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   250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= 0.0412M              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iv)   2.86g in 250cm</w:t>
      </w:r>
      <w:r>
        <w:rPr>
          <w:color w:val="000000"/>
          <w:vertAlign w:val="superscript"/>
        </w:rPr>
        <w:t>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?        1000cm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= 11.4 g/litre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0.04 = </w:t>
      </w:r>
      <w:r>
        <w:rPr>
          <w:color w:val="000000"/>
          <w:u w:val="single"/>
        </w:rPr>
        <w:t>11.4</w:t>
      </w:r>
      <w:r>
        <w:rPr>
          <w:color w:val="000000"/>
        </w:rPr>
        <w:t xml:space="preserve">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     mm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mm   = </w:t>
      </w:r>
      <w:r>
        <w:rPr>
          <w:color w:val="000000"/>
          <w:u w:val="single"/>
        </w:rPr>
        <w:t>11.4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  0.04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=</w:t>
      </w:r>
      <w:r>
        <w:rPr>
          <w:color w:val="000000"/>
        </w:rPr>
        <w:t xml:space="preserve"> 286 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v)   Rmm of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= (23 x 2) + 12 + (16 x 3) = 106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Mass of water = 286 – 106  = 180g   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vi)   XH</w:t>
      </w:r>
      <w:r>
        <w:rPr>
          <w:color w:val="000000"/>
          <w:vertAlign w:val="subscript"/>
        </w:rPr>
        <w:t>2</w:t>
      </w:r>
      <w:r>
        <w:rPr>
          <w:color w:val="000000"/>
        </w:rPr>
        <w:t>O = 180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Rmm of H</w:t>
      </w:r>
      <w:r>
        <w:rPr>
          <w:color w:val="000000"/>
          <w:vertAlign w:val="subscript"/>
        </w:rPr>
        <w:t>2</w:t>
      </w:r>
      <w:r>
        <w:rPr>
          <w:color w:val="000000"/>
        </w:rPr>
        <w:t>O = (1 x 2) + 16  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                      = 18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  <w:u w:val="single"/>
        </w:rPr>
        <w:t>18 x</w:t>
      </w:r>
      <w:r>
        <w:rPr>
          <w:color w:val="000000"/>
        </w:rPr>
        <w:t xml:space="preserve">  =</w:t>
      </w:r>
      <w:r>
        <w:rPr>
          <w:color w:val="000000"/>
          <w:u w:val="single"/>
        </w:rPr>
        <w:t>180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  18        18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      X = 10       (1mk)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 xml:space="preserve">2.   (i)  </w:t>
      </w:r>
    </w:p>
    <w:tbl>
      <w:tblPr>
        <w:tblStyle w:val="style4098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4675"/>
      </w:tblGrid>
      <w:tr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r>
              <w:t>The solid dissolved to form a colourless solution  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>Soluble salt   (1mk)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 xml:space="preserve">      ii)</w:t>
      </w:r>
    </w:p>
    <w:p>
      <w:pPr>
        <w:pStyle w:val="style0"/>
        <w:spacing w:after="0"/>
        <w:rPr/>
      </w:pPr>
    </w:p>
    <w:tbl>
      <w:tblPr>
        <w:tblStyle w:val="style4099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4675"/>
      </w:tblGrid>
      <w:tr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r>
              <w:t>In few drops white precipitate is formed which dissolves in excess 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>Zn</w:t>
            </w:r>
            <w:r>
              <w:rPr>
                <w:vertAlign w:val="superscript"/>
              </w:rPr>
              <w:t>2+</w:t>
            </w:r>
            <w:r>
              <w:t>Pb</w:t>
            </w:r>
            <w:r>
              <w:rPr>
                <w:vertAlign w:val="superscript"/>
              </w:rPr>
              <w:t>2+</w:t>
            </w:r>
            <w:r>
              <w:t xml:space="preserve"> and Al</w:t>
            </w:r>
            <w:r>
              <w:rPr>
                <w:vertAlign w:val="superscript"/>
              </w:rPr>
              <w:t>3+</w:t>
            </w:r>
            <w:r>
              <w:t xml:space="preserve"> present   (1mk)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 xml:space="preserve">      iii)  </w:t>
      </w:r>
    </w:p>
    <w:p>
      <w:pPr>
        <w:pStyle w:val="style0"/>
        <w:spacing w:after="0"/>
        <w:rPr/>
      </w:pPr>
    </w:p>
    <w:tbl>
      <w:tblPr>
        <w:tblStyle w:val="style4100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4675"/>
      </w:tblGrid>
      <w:tr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r>
              <w:t>In few drops white precipitate is formed which dissolves in excess 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 Zn</w:t>
            </w:r>
            <w:r>
              <w:rPr>
                <w:vertAlign w:val="superscript"/>
              </w:rPr>
              <w:t>2+</w:t>
            </w:r>
            <w:r>
              <w:t xml:space="preserve"> present    (1mk)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 xml:space="preserve">     iv)   </w:t>
      </w:r>
    </w:p>
    <w:p>
      <w:pPr>
        <w:pStyle w:val="style0"/>
        <w:spacing w:after="0"/>
        <w:rPr/>
      </w:pPr>
    </w:p>
    <w:tbl>
      <w:tblPr>
        <w:tblStyle w:val="style4101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4675"/>
      </w:tblGrid>
      <w:tr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r>
              <w:t>White precipitate is formed which does not dissolve on warming  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t xml:space="preserve"> , 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t xml:space="preserve"> or 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t xml:space="preserve"> present    (1mk)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 xml:space="preserve">v)   </w:t>
      </w:r>
    </w:p>
    <w:p>
      <w:pPr>
        <w:pStyle w:val="style0"/>
        <w:spacing w:after="0"/>
        <w:rPr/>
      </w:pPr>
    </w:p>
    <w:tbl>
      <w:tblPr>
        <w:tblStyle w:val="style4102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4675"/>
      </w:tblGrid>
      <w:tr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r>
              <w:t>The white precipitate remains  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 xml:space="preserve">2- </w:t>
            </w:r>
            <w:r>
              <w:t xml:space="preserve"> present        (1mk)</w:t>
            </w:r>
          </w:p>
          <w:p>
            <w:pPr>
              <w:pStyle w:val="style0"/>
              <w:rPr/>
            </w:pP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>b)</w:t>
      </w:r>
    </w:p>
    <w:p>
      <w:pPr>
        <w:pStyle w:val="style0"/>
        <w:spacing w:after="0"/>
        <w:rPr/>
      </w:pPr>
      <w:r>
        <w:t xml:space="preserve">i)     </w:t>
      </w:r>
    </w:p>
    <w:p>
      <w:pPr>
        <w:pStyle w:val="style0"/>
        <w:spacing w:after="0"/>
        <w:rPr/>
      </w:pPr>
    </w:p>
    <w:tbl>
      <w:tblPr>
        <w:tblStyle w:val="style4103"/>
        <w:tblW w:w="8545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4675"/>
      </w:tblGrid>
      <w:tr>
        <w:trPr/>
        <w:tc>
          <w:tcPr>
            <w:tcW w:w="387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870" w:type="dxa"/>
            <w:tcBorders/>
          </w:tcPr>
          <w:p>
            <w:pPr>
              <w:pStyle w:val="style0"/>
              <w:rPr/>
            </w:pPr>
            <w:r>
              <w:t>It burns with a yellow sooty flame 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>C = C or -C = C- present   (1mk)</w:t>
            </w:r>
          </w:p>
          <w:p>
            <w:pPr>
              <w:pStyle w:val="style0"/>
              <w:rPr/>
            </w:pP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bookmarkStart w:id="1" w:name="_gjdgxs" w:colFirst="0" w:colLast="0"/>
    <w:bookmarkEnd w:id="1"/>
    <w:p>
      <w:pPr>
        <w:pStyle w:val="style0"/>
        <w:spacing w:after="0"/>
        <w:rPr/>
      </w:pPr>
      <w:r>
        <w:t xml:space="preserve">       ii)  </w: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-317499</wp:posOffset>
                </wp:positionH>
                <wp:positionV relativeFrom="paragraph">
                  <wp:posOffset>-279399</wp:posOffset>
                </wp:positionV>
                <wp:extent cx="444500" cy="320675"/>
                <wp:effectExtent l="0" t="0" r="0" b="0"/>
                <wp:wrapNone/>
                <wp:docPr id="1026" name="Freeform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4500" cy="3206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100" h="295275" stroke="1">
                              <a:moveTo>
                                <a:pt x="0" y="0"/>
                              </a:moveTo>
                              <a:lnTo>
                                <a:pt x="0" y="295275"/>
                              </a:lnTo>
                              <a:lnTo>
                                <a:pt x="419100" y="295275"/>
                              </a:lnTo>
                              <a:lnTo>
                                <a:pt x="41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lineRule="auto" w:line="258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419100,295275" path="m0,0l0,295275l419100,295275l419100,0xe" fillcolor="white" stroked="t" style="position:absolute;margin-left:-25.0pt;margin-top:-22.0pt;width:35.0pt;height:25.25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weight="1.0pt"/>
                <v:fill/>
                <v:path textboxrect="0,0,419100,29527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58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-203199</wp:posOffset>
                </wp:positionH>
                <wp:positionV relativeFrom="paragraph">
                  <wp:posOffset>-228599</wp:posOffset>
                </wp:positionV>
                <wp:extent cx="193675" cy="25400"/>
                <wp:effectExtent l="0" t="0" r="0" b="0"/>
                <wp:wrapNone/>
                <wp:docPr id="1027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675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0975" h="1" stroke="1">
                              <a:moveTo>
                                <a:pt x="0" y="0"/>
                              </a:moveTo>
                              <a:lnTo>
                                <a:pt x="180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180975,1" path="m0,0l180975,0e" fillcolor="white" stroked="t" style="position:absolute;margin-left:-16.0pt;margin-top:-18.0pt;width:15.25pt;height:2.0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8097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-203199</wp:posOffset>
                </wp:positionH>
                <wp:positionV relativeFrom="paragraph">
                  <wp:posOffset>-88899</wp:posOffset>
                </wp:positionV>
                <wp:extent cx="193675" cy="25400"/>
                <wp:effectExtent l="0" t="0" r="0" b="0"/>
                <wp:wrapNone/>
                <wp:docPr id="1028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93675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0975" h="9525" stroke="1">
                              <a:moveTo>
                                <a:pt x="0" y="0"/>
                              </a:moveTo>
                              <a:lnTo>
                                <a:pt x="180975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180975,9525" path="m0,0l180975,9525e" fillcolor="white" stroked="t" style="position:absolute;margin-left:-16.0pt;margin-top:-7.0pt;width:15.25pt;height:2.0pt;z-index:4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  <v:path textboxrect="0,0,180975,952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-203199</wp:posOffset>
                </wp:positionH>
                <wp:positionV relativeFrom="paragraph">
                  <wp:posOffset>-76199</wp:posOffset>
                </wp:positionV>
                <wp:extent cx="206375" cy="111125"/>
                <wp:effectExtent l="0" t="0" r="0" b="0"/>
                <wp:wrapNone/>
                <wp:docPr id="1029" name="Freeform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6375" cy="1111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0975" h="85725" stroke="1">
                              <a:moveTo>
                                <a:pt x="0" y="0"/>
                              </a:moveTo>
                              <a:lnTo>
                                <a:pt x="180975" y="857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180975,85725" path="m0,0l180975,85725e" fillcolor="white" stroked="t" style="position:absolute;margin-left:-16.0pt;margin-top:-6.0pt;width:16.25pt;height:8.75pt;z-index:5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  <v:path textboxrect="0,0,180975,85725" o:connectlocs=""/>
              </v:shape>
            </w:pict>
          </mc:Fallback>
        </mc:AlternateContent>
      </w:r>
    </w:p>
    <w:p>
      <w:pPr>
        <w:pStyle w:val="style0"/>
        <w:spacing w:after="0"/>
        <w:rPr/>
      </w:pPr>
    </w:p>
    <w:tbl>
      <w:tblPr>
        <w:tblStyle w:val="style4104"/>
        <w:tblW w:w="8275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4675"/>
      </w:tblGrid>
      <w:tr>
        <w:trPr/>
        <w:tc>
          <w:tcPr>
            <w:tcW w:w="360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0"/>
              <w:rPr/>
            </w:pPr>
            <w:r>
              <w:t>Dissolves to form a colourless solution 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>Polar compound   (1mk)</w:t>
            </w: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 xml:space="preserve">       iii)</w:t>
      </w:r>
    </w:p>
    <w:p>
      <w:pPr>
        <w:pStyle w:val="style0"/>
        <w:spacing w:after="0"/>
        <w:rPr/>
      </w:pPr>
    </w:p>
    <w:tbl>
      <w:tblPr>
        <w:tblStyle w:val="style4105"/>
        <w:tblW w:w="8185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675"/>
      </w:tblGrid>
      <w:tr>
        <w:trPr/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pH ( 4or 5)  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>Weakly acidic           (1mk)</w:t>
            </w:r>
          </w:p>
          <w:p>
            <w:pPr>
              <w:pStyle w:val="style0"/>
              <w:rPr/>
            </w:pP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>iv)</w:t>
      </w:r>
    </w:p>
    <w:p>
      <w:pPr>
        <w:pStyle w:val="style0"/>
        <w:spacing w:after="0"/>
        <w:rPr/>
      </w:pPr>
    </w:p>
    <w:tbl>
      <w:tblPr>
        <w:tblStyle w:val="style4106"/>
        <w:tblW w:w="8185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675"/>
      </w:tblGrid>
      <w:tr>
        <w:trPr/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There was effervescence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>Presence of H</w:t>
            </w:r>
            <w:r>
              <w:rPr>
                <w:vertAlign w:val="superscript"/>
              </w:rPr>
              <w:t xml:space="preserve">+             </w:t>
            </w:r>
            <w:r>
              <w:t xml:space="preserve">   (1mk)</w:t>
            </w:r>
          </w:p>
          <w:p>
            <w:pPr>
              <w:pStyle w:val="style0"/>
              <w:rPr/>
            </w:pPr>
          </w:p>
        </w:tc>
      </w:tr>
    </w:tbl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>v)</w:t>
      </w:r>
    </w:p>
    <w:p>
      <w:pPr>
        <w:pStyle w:val="style0"/>
        <w:spacing w:after="0"/>
        <w:rPr/>
      </w:pPr>
    </w:p>
    <w:tbl>
      <w:tblPr>
        <w:tblStyle w:val="style4107"/>
        <w:tblW w:w="8185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675"/>
      </w:tblGrid>
      <w:tr>
        <w:trPr/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 xml:space="preserve">Observation 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 xml:space="preserve">Inferences </w:t>
            </w:r>
          </w:p>
        </w:tc>
      </w:tr>
      <w:tr>
        <w:tblPrEx/>
        <w:trPr/>
        <w:tc>
          <w:tcPr>
            <w:tcW w:w="3510" w:type="dxa"/>
            <w:tcBorders/>
          </w:tcPr>
          <w:p>
            <w:pPr>
              <w:pStyle w:val="style0"/>
              <w:rPr/>
            </w:pPr>
            <w:r>
              <w:t>The purple colour of the solution persists    (1mk)</w:t>
            </w:r>
          </w:p>
        </w:tc>
        <w:tc>
          <w:tcPr>
            <w:tcW w:w="4675" w:type="dxa"/>
            <w:tcBorders/>
          </w:tcPr>
          <w:p>
            <w:pPr>
              <w:pStyle w:val="style0"/>
              <w:rPr/>
            </w:pPr>
            <w:r>
              <w:t>-C=C- or -C =  C-  absent    (1mk)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101600</wp:posOffset>
                      </wp:positionV>
                      <wp:extent cx="25400" cy="117475"/>
                      <wp:effectExtent l="0" t="0" r="0" b="0"/>
                      <wp:wrapNone/>
                      <wp:docPr id="1030" name="Freeform 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5400" cy="117475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35" h="104775" stroke="1">
                                    <a:moveTo>
                                      <a:pt x="0" y="0"/>
                                    </a:moveTo>
                                    <a:lnTo>
                                      <a:pt x="635" y="1047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type="none" w="sm"/>
                                <a:tailEnd len="sm" type="none" w="sm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0" coordsize="635,104775" path="m0,0l635,104775e" fillcolor="white" stroked="t" style="position:absolute;margin-left:14.0pt;margin-top:8.0pt;width:2.0pt;height:9.25pt;z-index:6;mso-position-horizontal-relative:text;mso-position-vertical-relative:text;mso-width-relative:page;mso-height-relative:page;mso-wrap-distance-left:0.0pt;mso-wrap-distance-right:0.0pt;visibility:visible;">
                      <v:stroke startarrowwidth="narrow" startarrowlength="short" endarrowwidth="narrow" endarrowlength="short" weight="1.0pt"/>
                      <v:fill/>
                      <v:path textboxrect="0,0,635,104775" o:connectlocs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false" relativeHeight="7" behindDoc="false" locked="false" layoutInCell="true" allowOverlap="tru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101600</wp:posOffset>
                      </wp:positionV>
                      <wp:extent cx="25400" cy="117475"/>
                      <wp:effectExtent l="0" t="0" r="0" b="0"/>
                      <wp:wrapNone/>
                      <wp:docPr id="1031" name="Freeform 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5400" cy="117475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" h="104775" stroke="1">
                                    <a:moveTo>
                                      <a:pt x="0" y="0"/>
                                    </a:moveTo>
                                    <a:lnTo>
                                      <a:pt x="0" y="1047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type="none" w="sm"/>
                                <a:tailEnd len="sm" type="none" w="sm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31" coordsize="1,104775" path="m0,0l0,104775e" fillcolor="white" stroked="t" style="position:absolute;margin-left:24.0pt;margin-top:8.0pt;width:2.0pt;height:9.25pt;z-index:7;mso-position-horizontal-relative:text;mso-position-vertical-relative:text;mso-width-relative:page;mso-height-relative:page;mso-wrap-distance-left:0.0pt;mso-wrap-distance-right:0.0pt;visibility:visible;">
                      <v:stroke startarrowwidth="narrow" startarrowlength="short" endarrowwidth="narrow" endarrowlength="short" weight="1.0pt"/>
                      <v:fill/>
                      <v:path textboxrect="0,0,1,104775" o:connectlocs=""/>
                    </v:shape>
                  </w:pict>
                </mc:Fallback>
              </mc:AlternateContent>
            </w:r>
          </w:p>
        </w:tc>
      </w:tr>
    </w:tbl>
    <w:p>
      <w:pPr>
        <w:pStyle w:val="style0"/>
        <w:spacing w:after="0"/>
        <w:rPr/>
      </w:pPr>
    </w:p>
    <w:sectPr>
      <w:pgSz w:w="12240" w:h="15840" w:orient="portrait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04C69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A4E452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25" w:hanging="360"/>
      </w:pPr>
    </w:lvl>
    <w:lvl w:ilvl="2">
      <w:start w:val="1"/>
      <w:numFmt w:val="decimal"/>
      <w:lvlText w:val="%1.%2.%3"/>
      <w:lvlJc w:val="left"/>
      <w:pPr>
        <w:ind w:left="3450" w:hanging="720"/>
      </w:pPr>
    </w:lvl>
    <w:lvl w:ilvl="3">
      <w:start w:val="1"/>
      <w:numFmt w:val="decimal"/>
      <w:lvlText w:val="%1.%2.%3.%4"/>
      <w:lvlJc w:val="left"/>
      <w:pPr>
        <w:ind w:left="4815" w:hanging="720"/>
      </w:pPr>
    </w:lvl>
    <w:lvl w:ilvl="4">
      <w:start w:val="1"/>
      <w:numFmt w:val="decimal"/>
      <w:lvlText w:val="%1.%2.%3.%4.%5"/>
      <w:lvlJc w:val="left"/>
      <w:pPr>
        <w:ind w:left="6540" w:hanging="1080"/>
      </w:pPr>
    </w:lvl>
    <w:lvl w:ilvl="5">
      <w:start w:val="1"/>
      <w:numFmt w:val="decimal"/>
      <w:lvlText w:val="%1.%2.%3.%4.%5.%6"/>
      <w:lvlJc w:val="left"/>
      <w:pPr>
        <w:ind w:left="7905" w:hanging="1080"/>
      </w:pPr>
    </w:lvl>
    <w:lvl w:ilvl="6">
      <w:start w:val="1"/>
      <w:numFmt w:val="decimal"/>
      <w:lvlText w:val="%1.%2.%3.%4.%5.%6.%7"/>
      <w:lvlJc w:val="left"/>
      <w:pPr>
        <w:ind w:left="9630" w:hanging="1440"/>
      </w:pPr>
    </w:lvl>
    <w:lvl w:ilvl="7">
      <w:start w:val="1"/>
      <w:numFmt w:val="decimal"/>
      <w:lvlText w:val="%1.%2.%3.%4.%5.%6.%7.%8"/>
      <w:lvlJc w:val="left"/>
      <w:pPr>
        <w:ind w:left="10995" w:hanging="1440"/>
      </w:pPr>
    </w:lvl>
    <w:lvl w:ilvl="8">
      <w:start w:val="1"/>
      <w:numFmt w:val="decimal"/>
      <w:lvlText w:val="%1.%2.%3.%4.%5.%6.%7.%8.%9"/>
      <w:lvlJc w:val="left"/>
      <w:pPr>
        <w:ind w:left="1236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basedOn w:val="style105"/>
    <w:next w:val="style4098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basedOn w:val="style105"/>
    <w:next w:val="style4099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basedOn w:val="style105"/>
    <w:next w:val="style4100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1">
    <w:basedOn w:val="style105"/>
    <w:next w:val="style4101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2">
    <w:basedOn w:val="style105"/>
    <w:next w:val="style4102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3">
    <w:basedOn w:val="style105"/>
    <w:next w:val="style4103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4">
    <w:basedOn w:val="style105"/>
    <w:next w:val="style4104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5">
    <w:basedOn w:val="style105"/>
    <w:next w:val="style4105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6">
    <w:basedOn w:val="style105"/>
    <w:next w:val="style4106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7">
    <w:basedOn w:val="style105"/>
    <w:next w:val="style410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352</Words>
  <Pages>3</Pages>
  <Characters>1525</Characters>
  <Application>WPS Office</Application>
  <DocSecurity>0</DocSecurity>
  <Paragraphs>169</Paragraphs>
  <ScaleCrop>false</ScaleCrop>
  <LinksUpToDate>false</LinksUpToDate>
  <CharactersWithSpaces>2517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2020-01-06T18:38:32Z</dcterms:created>
  <dc:creator>WPS Office</dc:creator>
  <lastModifiedBy>M6 lite</lastModifiedBy>
  <dcterms:modified xsi:type="dcterms:W3CDTF">2020-01-06T18:38:33Z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