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GATUNDU SOUTH EVALUATION EXAMINATION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KENYA CERTIFICATE OF SECONDARY EDUCATION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231/3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BIOLOGY PAPER 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0"/>
          <w:u w:val="single"/>
          <w:vertAlign w:val="baseline"/>
        </w:rPr>
      </w:pPr>
      <w:r w:rsidDel="00000000" w:rsidR="00000000" w:rsidRPr="00000000">
        <w:rPr>
          <w:b w:val="1"/>
          <w:u w:val="single"/>
          <w:vertAlign w:val="baseline"/>
          <w:rtl w:val="0"/>
        </w:rPr>
        <w:t xml:space="preserve">JULY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0"/>
          <w:sz w:val="36"/>
          <w:szCs w:val="36"/>
          <w:vertAlign w:val="baseline"/>
        </w:rPr>
      </w:pPr>
      <w:r w:rsidDel="00000000" w:rsidR="00000000" w:rsidRPr="00000000">
        <w:rPr>
          <w:b w:val="1"/>
          <w:sz w:val="36"/>
          <w:szCs w:val="36"/>
          <w:vertAlign w:val="baseline"/>
          <w:rtl w:val="0"/>
        </w:rPr>
        <w:t xml:space="preserve">CONFIDENTIAL.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The information contained here should not be availed to unauthorized persons.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Photographs  must be coloured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Olive oil 2 mls per candidate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Iodine solution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Pestle and mortar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Ethanol labeled L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one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One big irish potato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Scapel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Ruler</w:t>
      </w: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